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outlineLvl w:val="0"/>
        <w:rPr>
          <w:rFonts w:ascii="Times New Roman" w:hAnsi="Times New Roman" w:eastAsia="黑体"/>
          <w:b/>
          <w:sz w:val="44"/>
          <w:szCs w:val="44"/>
        </w:rPr>
      </w:pPr>
      <w:r>
        <w:rPr>
          <w:rFonts w:hint="eastAsia" w:ascii="Times New Roman" w:hAnsi="Times New Roman" w:eastAsia="黑体"/>
          <w:b/>
          <w:sz w:val="44"/>
          <w:szCs w:val="44"/>
        </w:rPr>
        <w:t>企业现货持有情况及用途说明</w:t>
      </w:r>
    </w:p>
    <w:p>
      <w:pPr>
        <w:spacing w:line="240" w:lineRule="atLeast"/>
        <w:jc w:val="center"/>
        <w:outlineLvl w:val="0"/>
        <w:rPr>
          <w:rFonts w:ascii="Times New Roman" w:hAnsi="Times New Roman" w:eastAsia="黑体"/>
          <w:b/>
          <w:sz w:val="28"/>
          <w:szCs w:val="28"/>
        </w:rPr>
      </w:pPr>
      <w:r>
        <w:rPr>
          <w:rFonts w:hint="eastAsia" w:ascii="Times New Roman" w:hAnsi="Times New Roman" w:eastAsia="黑体"/>
          <w:b/>
          <w:sz w:val="28"/>
          <w:szCs w:val="28"/>
        </w:rPr>
        <w:t>（交割月份套期保值适用）</w:t>
      </w:r>
    </w:p>
    <w:p>
      <w:pPr>
        <w:spacing w:line="240" w:lineRule="atLeast"/>
        <w:jc w:val="center"/>
        <w:outlineLvl w:val="0"/>
        <w:rPr>
          <w:rFonts w:ascii="Times New Roman" w:hAnsi="Times New Roman" w:eastAsia="黑体"/>
          <w:b/>
          <w:sz w:val="44"/>
          <w:szCs w:val="44"/>
        </w:rPr>
      </w:pPr>
    </w:p>
    <w:p>
      <w:pPr>
        <w:spacing w:line="0" w:lineRule="atLeast"/>
        <w:ind w:left="-111" w:leftChars="-53"/>
        <w:rPr>
          <w:rFonts w:ascii="Times New Roman" w:hAnsi="Times New Roman" w:eastAsia="楷体_GB2312"/>
          <w:sz w:val="24"/>
          <w:szCs w:val="24"/>
        </w:rPr>
      </w:pPr>
      <w:r>
        <w:rPr>
          <w:rFonts w:hint="eastAsia" w:ascii="Times New Roman" w:hAnsi="Times New Roman" w:eastAsia="楷体_GB2312"/>
          <w:sz w:val="24"/>
          <w:szCs w:val="24"/>
        </w:rPr>
        <w:t>填写日期：</w:t>
      </w:r>
    </w:p>
    <w:tbl>
      <w:tblPr>
        <w:tblStyle w:val="4"/>
        <w:tblW w:w="50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4495"/>
        <w:gridCol w:w="3290"/>
        <w:gridCol w:w="3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2463" w:type="pct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现货证明材料类型</w:t>
            </w:r>
          </w:p>
        </w:tc>
        <w:tc>
          <w:tcPr>
            <w:tcW w:w="1157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数量（吨）</w:t>
            </w:r>
          </w:p>
        </w:tc>
        <w:tc>
          <w:tcPr>
            <w:tcW w:w="1378" w:type="pct"/>
            <w:vAlign w:val="center"/>
          </w:tcPr>
          <w:p>
            <w:pPr>
              <w:spacing w:line="0" w:lineRule="atLeast"/>
              <w:ind w:right="-13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证明材料编号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2463" w:type="pct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现货仓单</w:t>
            </w:r>
          </w:p>
        </w:tc>
        <w:tc>
          <w:tcPr>
            <w:tcW w:w="1157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2463" w:type="pct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自有仓库的库存</w:t>
            </w:r>
          </w:p>
        </w:tc>
        <w:tc>
          <w:tcPr>
            <w:tcW w:w="1157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19050</wp:posOffset>
                      </wp:positionV>
                      <wp:extent cx="2447925" cy="228600"/>
                      <wp:effectExtent l="0" t="0" r="28575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7925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9pt;margin-top:1.5pt;height:18pt;width:192.75pt;z-index:251659264;mso-width-relative:page;mso-height-relative:page;" filled="f" stroked="t" coordsize="21600,21600" o:gfxdata="UEsDBAoAAAAAAIdO4kAAAAAAAAAAAAAAAAAEAAAAZHJzL1BLAwQUAAAACACHTuJAgu8bitYAAAAI&#10;AQAADwAAAGRycy9kb3ducmV2LnhtbE2PsU7EMAyGdyTeITIS211aKtGjNL0BiQEJCSgMjLnG1xYS&#10;pyS5trw9ZoLN1m99/v56vzorZgxx9KQg32YgkDpvRuoVvL3eb3YgYtJktPWECr4xwr45P6t1ZfxC&#10;Lzi3qRcMoVhpBUNKUyVl7AZ0Om79hMTZ0QenE6+hlyboheHOyqssu5ZOj8QfBj3h3YDdZ3tyTKHy&#10;67ja8P789Djs2uUDH+YSlbq8yLNbEAnX9HcMv/qsDg07HfyJTBRWwSbPWT0pKLgS50VZlCAOPNxk&#10;IJta/i/Q/ABQSwMEFAAAAAgAh07iQDXZ04zNAQAAaAMAAA4AAABkcnMvZTJvRG9jLnhtbK1TS44T&#10;MRDdI3EHy3vSSTMTQiudWUw0bBBEAg5QcdvdlvyTy6STS3ABJHawYsme28xwDMpOyAywQ2RRsevz&#10;yu9V9fJqbw3byYjau5bPJlPOpBO+065v+bu3N08WnGEC14HxTrb8IJFfrR4/Wo6hkbUfvOlkZATi&#10;sBlDy4eUQlNVKAZpASc+SEdB5aOFRNfYV12EkdCtqerpdF6NPnYheiERybs+Bvmq4CslRXqtFMrE&#10;TMvpbanYWOw222q1hKaPEAYtTs+Af3iFBe2o6RlqDQnY+6j/grJaRI9epYnwtvJKaSELB2Izm/7B&#10;5s0AQRYuJA6Gs0z4/2DFq90mMt3R7DhzYGlEdx+/3X74/OP7J7J3X7+wWRZpDNhQ7rXbxNMNwyZm&#10;xnsVbf4nLmxfhD2chZX7xAQ564uLZ8/rS84Exep6MZ8W5av76hAxvZDesnxoudEuE4cGdi8xUUdK&#10;/ZWS3c7faGPK8IxjY8vnTy9pvAJohZSBREcbiBS6njMwPe2mSLEgoje6y9UZB2O/vTaR7SDvR/ll&#10;ttTtt7Tceg04HPNK6Lg5VidaX6NtyxcPq40jkKzZUaV82vruUMQrfhpnaXNavbwvD++l+v4DWf0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gu8bitYAAAAIAQAADwAAAAAAAAABACAAAAAiAAAAZHJz&#10;L2Rvd25yZXYueG1sUEsBAhQAFAAAAAgAh07iQDXZ04zNAQAAaAMAAA4AAAAAAAAAAQAgAAAAJQEA&#10;AGRycy9lMm9Eb2MueG1sUEsFBgAAAAAGAAYAWQEAAGQ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2463" w:type="pct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已签订合同尚未交货的采购量</w:t>
            </w:r>
          </w:p>
        </w:tc>
        <w:tc>
          <w:tcPr>
            <w:tcW w:w="1157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2463" w:type="pct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已签订合同尚未交货的销售量</w:t>
            </w:r>
          </w:p>
        </w:tc>
        <w:tc>
          <w:tcPr>
            <w:tcW w:w="1157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  <w:jc w:val="center"/>
        </w:trPr>
        <w:tc>
          <w:tcPr>
            <w:tcW w:w="882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套期保值方案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</w:rPr>
              <w:t>(包括风险来源分析、保值目标、预期交割或平仓的数量)</w:t>
            </w:r>
          </w:p>
        </w:tc>
        <w:tc>
          <w:tcPr>
            <w:tcW w:w="4117" w:type="pct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0" w:hRule="atLeast"/>
          <w:jc w:val="center"/>
        </w:trPr>
        <w:tc>
          <w:tcPr>
            <w:tcW w:w="882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填表说明</w:t>
            </w:r>
          </w:p>
        </w:tc>
        <w:tc>
          <w:tcPr>
            <w:tcW w:w="4117" w:type="pct"/>
            <w:gridSpan w:val="3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0" w:lineRule="atLeast"/>
              <w:ind w:firstLineChars="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申请企业应填写符合大连商品交易所交割品质的现货数量，并提供相应的证明材料，如第三方仓库的现货仓单、采购及销售合同等。</w:t>
            </w:r>
          </w:p>
          <w:p>
            <w:pPr>
              <w:pStyle w:val="6"/>
              <w:numPr>
                <w:ilvl w:val="0"/>
                <w:numId w:val="1"/>
              </w:numPr>
              <w:spacing w:line="0" w:lineRule="atLeast"/>
              <w:ind w:firstLineChars="0"/>
              <w:jc w:val="left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申请企业应使用具体数据，反映现货市场与期货市场的情况，说明申请增加交割月份套期保值额度的原因。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企业盖章:</w:t>
            </w:r>
            <w:bookmarkStart w:id="0" w:name="_GoBack"/>
            <w:bookmarkEnd w:id="0"/>
          </w:p>
        </w:tc>
      </w:tr>
    </w:tbl>
    <w:p>
      <w:pPr>
        <w:spacing w:line="240" w:lineRule="atLeast"/>
        <w:outlineLvl w:val="0"/>
        <w:rPr>
          <w:rFonts w:ascii="Times New Roman" w:hAnsi="Times New Roman" w:eastAsia="黑体"/>
          <w:b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92E14"/>
    <w:multiLevelType w:val="multilevel"/>
    <w:tmpl w:val="59D92E1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3A"/>
    <w:rsid w:val="006C5AB0"/>
    <w:rsid w:val="006F0480"/>
    <w:rsid w:val="007B5816"/>
    <w:rsid w:val="009729EF"/>
    <w:rsid w:val="00973DA3"/>
    <w:rsid w:val="00AE254D"/>
    <w:rsid w:val="00D5363A"/>
    <w:rsid w:val="3B15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234</Characters>
  <Lines>1</Lines>
  <Paragraphs>1</Paragraphs>
  <TotalTime>18</TotalTime>
  <ScaleCrop>false</ScaleCrop>
  <LinksUpToDate>false</LinksUpToDate>
  <CharactersWithSpaces>273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2019-08-08T06:17:00Z</dcterms:created>
  <dc:creator>Windows User</dc:creator>
  <cp:lastModifiedBy>JL</cp:lastModifiedBy>
  <dcterms:modified xsi:type="dcterms:W3CDTF">2020-09-04T01:27:40Z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